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IMPACT OF STENT LENGTH ON NEOINTIMAL HYPERPLASIA AFTER RESOLUTE ZOTAROLIMUS-ELUTING STENT IMPLANTATION </w:t>
      </w:r>
    </w:p>
    <w:p w:rsidR="00666B5B" w:rsidRDefault="00B921ED" w:rsidP="00EA7D95">
      <w:pPr>
        <w:widowControl w:val="0"/>
        <w:autoSpaceDE w:val="0"/>
        <w:autoSpaceDN w:val="0"/>
        <w:adjustRightInd w:val="0"/>
      </w:pPr>
      <w:r w:rsidRPr="00EA7D95">
        <w:rPr>
          <w:b/>
          <w:bCs/>
          <w:u w:val="single"/>
        </w:rPr>
        <w:t>R</w:t>
      </w:r>
      <w:r w:rsidR="00EA7D95" w:rsidRPr="00EA7D95">
        <w:rPr>
          <w:b/>
          <w:bCs/>
          <w:u w:val="single"/>
        </w:rPr>
        <w:t>.</w:t>
      </w:r>
      <w:r w:rsidRPr="00EA7D95">
        <w:rPr>
          <w:b/>
          <w:bCs/>
          <w:u w:val="single"/>
        </w:rPr>
        <w:t>Yamada</w:t>
      </w:r>
      <w:r w:rsidR="00EA7D95" w:rsidRPr="00EA7D95">
        <w:rPr>
          <w:b/>
          <w:bCs/>
          <w:u w:val="single"/>
          <w:vertAlign w:val="superscript"/>
        </w:rPr>
        <w:t>1</w:t>
      </w:r>
      <w:r>
        <w:t>, T</w:t>
      </w:r>
      <w:r w:rsidR="00EA7D95">
        <w:t>.</w:t>
      </w:r>
      <w:r>
        <w:t xml:space="preserve"> Kume</w:t>
      </w:r>
      <w:r w:rsidR="00EA7D95" w:rsidRPr="00EA7D95">
        <w:rPr>
          <w:vertAlign w:val="superscript"/>
        </w:rPr>
        <w:t>1</w:t>
      </w:r>
      <w:r>
        <w:t>, K</w:t>
      </w:r>
      <w:r w:rsidR="00EA7D95">
        <w:t>.</w:t>
      </w:r>
      <w:r>
        <w:t xml:space="preserve"> Waseda</w:t>
      </w:r>
      <w:r w:rsidR="00EA7D95" w:rsidRPr="00EA7D95">
        <w:rPr>
          <w:vertAlign w:val="superscript"/>
        </w:rPr>
        <w:t>1</w:t>
      </w:r>
      <w:r>
        <w:t>, P</w:t>
      </w:r>
      <w:r w:rsidR="00EA7D95">
        <w:t>.</w:t>
      </w:r>
      <w:r>
        <w:t>G</w:t>
      </w:r>
      <w:r w:rsidR="00EA7D95">
        <w:t>.</w:t>
      </w:r>
      <w:r>
        <w:t xml:space="preserve"> Yock</w:t>
      </w:r>
      <w:r w:rsidR="00EA7D95" w:rsidRPr="00EA7D95">
        <w:rPr>
          <w:vertAlign w:val="superscript"/>
        </w:rPr>
        <w:t>1</w:t>
      </w:r>
      <w:r>
        <w:t>, I</w:t>
      </w:r>
      <w:r w:rsidR="00EA7D95">
        <w:t>.</w:t>
      </w:r>
      <w:r>
        <w:t>T</w:t>
      </w:r>
      <w:r w:rsidR="00EA7D95">
        <w:t>.</w:t>
      </w:r>
      <w:r>
        <w:t xml:space="preserve"> Meredith</w:t>
      </w:r>
      <w:r w:rsidR="00EA7D95">
        <w:rPr>
          <w:vertAlign w:val="superscript"/>
        </w:rPr>
        <w:t>2</w:t>
      </w:r>
      <w:r>
        <w:t>, M</w:t>
      </w:r>
      <w:r w:rsidR="00EA7D95">
        <w:t>.</w:t>
      </w:r>
      <w:r>
        <w:t>B</w:t>
      </w:r>
      <w:r w:rsidR="00EA7D95">
        <w:t>.</w:t>
      </w:r>
      <w:r>
        <w:t xml:space="preserve"> Leon</w:t>
      </w:r>
      <w:r w:rsidR="00EA7D95">
        <w:rPr>
          <w:vertAlign w:val="superscript"/>
        </w:rPr>
        <w:t>3</w:t>
      </w:r>
      <w:r>
        <w:t xml:space="preserve">, </w:t>
      </w:r>
    </w:p>
    <w:p w:rsidR="00B921ED" w:rsidRDefault="00B921ED" w:rsidP="00666B5B">
      <w:pPr>
        <w:widowControl w:val="0"/>
        <w:autoSpaceDE w:val="0"/>
        <w:autoSpaceDN w:val="0"/>
        <w:adjustRightInd w:val="0"/>
      </w:pPr>
      <w:r>
        <w:t>L</w:t>
      </w:r>
      <w:r w:rsidR="00EA7D95">
        <w:t>.</w:t>
      </w:r>
      <w:r>
        <w:t xml:space="preserve"> Mauri</w:t>
      </w:r>
      <w:r w:rsidR="00EA7D95">
        <w:rPr>
          <w:vertAlign w:val="superscript"/>
        </w:rPr>
        <w:t>4</w:t>
      </w:r>
      <w:r>
        <w:t>, A</w:t>
      </w:r>
      <w:r w:rsidR="00EA7D95">
        <w:t>.</w:t>
      </w:r>
      <w:r>
        <w:t>C</w:t>
      </w:r>
      <w:r w:rsidR="00EA7D95">
        <w:t>.</w:t>
      </w:r>
      <w:r>
        <w:t xml:space="preserve"> Yeung</w:t>
      </w:r>
      <w:r w:rsidR="00EA7D95" w:rsidRPr="00EA7D95">
        <w:rPr>
          <w:vertAlign w:val="superscript"/>
        </w:rPr>
        <w:t>1</w:t>
      </w:r>
      <w:r>
        <w:t>, P</w:t>
      </w:r>
      <w:r w:rsidR="00EA7D95">
        <w:t>.</w:t>
      </w:r>
      <w:r>
        <w:t>J</w:t>
      </w:r>
      <w:r w:rsidR="00EA7D95">
        <w:t>.</w:t>
      </w:r>
      <w:r>
        <w:t xml:space="preserve"> Fitzgerald</w:t>
      </w:r>
      <w:r w:rsidR="00EA7D95" w:rsidRPr="00EA7D95">
        <w:rPr>
          <w:vertAlign w:val="superscript"/>
        </w:rPr>
        <w:t>1</w:t>
      </w:r>
      <w:r>
        <w:t>, Y</w:t>
      </w:r>
      <w:r w:rsidR="00EA7D95">
        <w:t>.</w:t>
      </w:r>
      <w:r>
        <w:t xml:space="preserve"> Honda</w:t>
      </w:r>
      <w:r w:rsidR="00EA7D95" w:rsidRPr="00EA7D95">
        <w:rPr>
          <w:vertAlign w:val="superscript"/>
        </w:rPr>
        <w:t>1</w:t>
      </w:r>
    </w:p>
    <w:p w:rsidR="00B921ED" w:rsidRDefault="00EA7D95">
      <w:pPr>
        <w:widowControl w:val="0"/>
        <w:autoSpaceDE w:val="0"/>
        <w:autoSpaceDN w:val="0"/>
        <w:adjustRightInd w:val="0"/>
        <w:rPr>
          <w:color w:val="503820"/>
        </w:rPr>
      </w:pPr>
      <w:r w:rsidRPr="00EA7D95">
        <w:rPr>
          <w:vertAlign w:val="superscript"/>
        </w:rPr>
        <w:t>1</w:t>
      </w:r>
      <w:r w:rsidR="00B921ED">
        <w:rPr>
          <w:color w:val="000000"/>
        </w:rPr>
        <w:t>Stanford University Medical Center,</w:t>
      </w:r>
      <w:r w:rsidR="001B06DB">
        <w:rPr>
          <w:color w:val="000000"/>
        </w:rPr>
        <w:t xml:space="preserve"> CA,</w:t>
      </w:r>
      <w:bookmarkStart w:id="0" w:name="_GoBack"/>
      <w:bookmarkEnd w:id="0"/>
      <w:r w:rsidR="00B921ED">
        <w:rPr>
          <w:color w:val="000000"/>
        </w:rPr>
        <w:t xml:space="preserve"> </w:t>
      </w:r>
      <w:r w:rsidRPr="00EA7D95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Monash Heart and Medical Centre, </w:t>
      </w:r>
      <w:r w:rsidRPr="00EA7D95">
        <w:rPr>
          <w:color w:val="000000"/>
          <w:vertAlign w:val="superscript"/>
        </w:rPr>
        <w:t>3</w:t>
      </w:r>
      <w:r w:rsidR="00B921ED">
        <w:rPr>
          <w:color w:val="000000"/>
        </w:rPr>
        <w:t>Columbia Univ</w:t>
      </w:r>
      <w:r>
        <w:rPr>
          <w:color w:val="000000"/>
        </w:rPr>
        <w:t>ersity</w:t>
      </w:r>
      <w:r w:rsidR="00B921ED">
        <w:rPr>
          <w:color w:val="000000"/>
        </w:rPr>
        <w:t xml:space="preserve"> Medical Center/ New York Presbyterian Hospital, </w:t>
      </w:r>
      <w:r w:rsidRPr="00EA7D95">
        <w:rPr>
          <w:color w:val="000000"/>
          <w:vertAlign w:val="superscript"/>
        </w:rPr>
        <w:t>4</w:t>
      </w:r>
      <w:r w:rsidR="00B921ED">
        <w:rPr>
          <w:color w:val="000000"/>
        </w:rPr>
        <w:t>Harvard Medical School</w:t>
      </w:r>
      <w:r>
        <w:rPr>
          <w:color w:val="000000"/>
        </w:rPr>
        <w:t>, Boston, MA,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A7D95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In bare metal and first-generation drug-eluting stents, stent length has been shown to correlate with subsequent restenosis or cardiovascular events. The purpose of this study was to assess potential impact of stent length on </w:t>
      </w:r>
      <w:proofErr w:type="spellStart"/>
      <w:r>
        <w:t>neointimal</w:t>
      </w:r>
      <w:proofErr w:type="spellEnd"/>
      <w:r>
        <w:t xml:space="preserve"> hyperplasia in the second-generation </w:t>
      </w:r>
      <w:proofErr w:type="spellStart"/>
      <w:r>
        <w:t>zotarolimus</w:t>
      </w:r>
      <w:proofErr w:type="spellEnd"/>
      <w:r>
        <w:t>-eluting stent (ZES) implantation.</w:t>
      </w:r>
    </w:p>
    <w:p w:rsidR="00EE0CD1" w:rsidRDefault="00B921ED">
      <w:pPr>
        <w:widowControl w:val="0"/>
        <w:autoSpaceDE w:val="0"/>
        <w:autoSpaceDN w:val="0"/>
        <w:adjustRightInd w:val="0"/>
        <w:jc w:val="both"/>
      </w:pPr>
      <w:r>
        <w:t>Methods: Prescheduled IVUS follow-up at 8-9 months regardless of symptom was performed in 146 de novo coronary lesions treated with single Resolute ZES. Cross-sectional narrowing</w:t>
      </w:r>
      <w:r w:rsidR="00EE0CD1">
        <w:t xml:space="preserve"> </w:t>
      </w:r>
      <w:r>
        <w:t xml:space="preserve">(CSN) was defined as </w:t>
      </w:r>
      <w:proofErr w:type="spellStart"/>
      <w:r>
        <w:t>neointima</w:t>
      </w:r>
      <w:proofErr w:type="spellEnd"/>
      <w:r>
        <w:t xml:space="preserve">/stent area. </w:t>
      </w:r>
      <w:proofErr w:type="spellStart"/>
      <w:r>
        <w:t>Neointimal</w:t>
      </w:r>
      <w:proofErr w:type="spellEnd"/>
      <w:r>
        <w:t xml:space="preserve"> obstruction was calculated as </w:t>
      </w:r>
      <w:proofErr w:type="spellStart"/>
      <w:r>
        <w:t>neointima</w:t>
      </w:r>
      <w:proofErr w:type="spellEnd"/>
      <w:r>
        <w:t xml:space="preserve">/stent volume. Clinical, angiographic and IVUS variables with a P-value &lt;0.20 on </w:t>
      </w:r>
      <w:proofErr w:type="spellStart"/>
      <w:r>
        <w:t>univariate</w:t>
      </w:r>
      <w:proofErr w:type="spellEnd"/>
      <w:r>
        <w:t xml:space="preserve"> analysis were inserted into multivariate models.</w:t>
      </w:r>
      <w:r w:rsidR="00EA7D95">
        <w:t xml:space="preserve"> </w:t>
      </w:r>
    </w:p>
    <w:p w:rsidR="00EE0CD1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proofErr w:type="spellStart"/>
      <w:r>
        <w:t>Univariate</w:t>
      </w:r>
      <w:proofErr w:type="spellEnd"/>
      <w:r>
        <w:t xml:space="preserve"> regression analysis showed a significant positive correlation of stent length with max CSN (R=0.228, P=0.012), whereas </w:t>
      </w:r>
      <w:proofErr w:type="gramStart"/>
      <w:r>
        <w:t>an</w:t>
      </w:r>
      <w:proofErr w:type="gramEnd"/>
      <w:r>
        <w:t xml:space="preserve"> weak correlation with </w:t>
      </w:r>
      <w:proofErr w:type="spellStart"/>
      <w:r>
        <w:t>neointimal</w:t>
      </w:r>
      <w:proofErr w:type="spellEnd"/>
      <w:r>
        <w:t xml:space="preserve"> obstruction was not statistically significant (R=0.135, P=0.141). </w:t>
      </w:r>
    </w:p>
    <w:p w:rsidR="00EA7D95" w:rsidRDefault="00B921ED">
      <w:pPr>
        <w:widowControl w:val="0"/>
        <w:autoSpaceDE w:val="0"/>
        <w:autoSpaceDN w:val="0"/>
        <w:adjustRightInd w:val="0"/>
        <w:jc w:val="both"/>
      </w:pPr>
      <w:r>
        <w:t xml:space="preserve">In multivariate analysis, longer stent length was independently associated with higher max CSN (P=0.007). On the other hand, an association of stent length with </w:t>
      </w:r>
      <w:proofErr w:type="spellStart"/>
      <w:r>
        <w:t>neointimal</w:t>
      </w:r>
      <w:proofErr w:type="spellEnd"/>
      <w:r>
        <w:t xml:space="preserve"> obstruction did not reach statistical significance (P=0.059)</w:t>
      </w:r>
      <w:r w:rsidR="00EE0CD1">
        <w:t xml:space="preserve"> </w:t>
      </w:r>
      <w:r>
        <w:t>(Table).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Pooled IVUS analysis of Resolute ZES i</w:t>
      </w:r>
      <w:r w:rsidR="00566329">
        <w:t>dentified</w:t>
      </w:r>
      <w:r w:rsidR="00566329">
        <w:rPr>
          <w:rFonts w:hint="eastAsia"/>
          <w:lang w:eastAsia="ja-JP"/>
        </w:rPr>
        <w:t xml:space="preserve"> </w:t>
      </w:r>
      <w:r>
        <w:t xml:space="preserve">stent length as an independent determinant of maximum lumen encroachment by </w:t>
      </w:r>
      <w:proofErr w:type="spellStart"/>
      <w:r>
        <w:t>neointima</w:t>
      </w:r>
      <w:proofErr w:type="spellEnd"/>
      <w:r>
        <w:t xml:space="preserve">. In this population, however, this effect did not significantly impact the overall amount of </w:t>
      </w:r>
      <w:proofErr w:type="spellStart"/>
      <w:r>
        <w:t>neointima</w:t>
      </w:r>
      <w:proofErr w:type="spellEnd"/>
      <w:r>
        <w:t xml:space="preserve"> within the stent. </w:t>
      </w:r>
    </w:p>
    <w:p w:rsidR="00B921ED" w:rsidRDefault="00B921E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66329" w:rsidRPr="00566329" w:rsidRDefault="00566329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rFonts w:hint="eastAsia"/>
          <w:noProof/>
        </w:rPr>
        <w:drawing>
          <wp:inline distT="0" distB="0" distL="0" distR="0">
            <wp:extent cx="5278755" cy="2632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329" w:rsidRPr="00566329" w:rsidSect="00666B5B">
      <w:headerReference w:type="default" r:id="rId8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C9" w:rsidRDefault="00781CC9" w:rsidP="004D1A35">
      <w:r>
        <w:separator/>
      </w:r>
    </w:p>
  </w:endnote>
  <w:endnote w:type="continuationSeparator" w:id="0">
    <w:p w:rsidR="00781CC9" w:rsidRDefault="00781CC9" w:rsidP="004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C9" w:rsidRDefault="00781CC9" w:rsidP="004D1A35">
      <w:r>
        <w:separator/>
      </w:r>
    </w:p>
  </w:footnote>
  <w:footnote w:type="continuationSeparator" w:id="0">
    <w:p w:rsidR="00781CC9" w:rsidRDefault="00781CC9" w:rsidP="004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35" w:rsidRDefault="004D1A35" w:rsidP="004D1A35">
    <w:pPr>
      <w:pStyle w:val="Header"/>
    </w:pPr>
    <w:r>
      <w:t>1573, poster, cat: 17</w:t>
    </w:r>
  </w:p>
  <w:p w:rsidR="004D1A35" w:rsidRDefault="004D1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315C8"/>
    <w:rsid w:val="001B06DB"/>
    <w:rsid w:val="00447B2F"/>
    <w:rsid w:val="004D1A35"/>
    <w:rsid w:val="00566329"/>
    <w:rsid w:val="00666B5B"/>
    <w:rsid w:val="00781CC9"/>
    <w:rsid w:val="00B921ED"/>
    <w:rsid w:val="00D96859"/>
    <w:rsid w:val="00EA7D95"/>
    <w:rsid w:val="00EE0CD1"/>
    <w:rsid w:val="00F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92380C71.dotm</Template>
  <TotalTime>2</TotalTime>
  <Pages>1</Pages>
  <Words>255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Atartica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2012-05-28T10:24:00Z</cp:lastPrinted>
  <dcterms:created xsi:type="dcterms:W3CDTF">2012-05-16T12:12:00Z</dcterms:created>
  <dcterms:modified xsi:type="dcterms:W3CDTF">2012-05-28T10:30:00Z</dcterms:modified>
</cp:coreProperties>
</file>